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2665" w14:textId="77777777" w:rsidR="001328F6" w:rsidRPr="00E31549" w:rsidRDefault="001328F6" w:rsidP="001328F6">
      <w:pPr>
        <w:pBdr>
          <w:top w:val="triple" w:sz="12" w:space="1" w:color="2F5496" w:themeColor="accent1" w:themeShade="BF"/>
          <w:left w:val="triple" w:sz="12" w:space="4" w:color="2F5496" w:themeColor="accent1" w:themeShade="BF"/>
          <w:bottom w:val="triple" w:sz="12" w:space="1" w:color="2F5496" w:themeColor="accent1" w:themeShade="BF"/>
          <w:right w:val="triple" w:sz="12" w:space="4" w:color="2F5496" w:themeColor="accent1" w:themeShade="BF"/>
          <w:between w:val="triple" w:sz="12" w:space="1" w:color="2F5496" w:themeColor="accent1" w:themeShade="BF"/>
          <w:bar w:val="triple" w:sz="12" w:color="2F5496" w:themeColor="accent1" w:themeShade="BF"/>
        </w:pBdr>
        <w:jc w:val="center"/>
        <w:rPr>
          <w:rFonts w:cstheme="minorHAnsi"/>
          <w:b/>
          <w:bCs/>
          <w:caps/>
          <w:color w:val="2F5496" w:themeColor="accent1" w:themeShade="BF"/>
          <w:sz w:val="24"/>
          <w:szCs w:val="24"/>
        </w:rPr>
      </w:pPr>
      <w:bookmarkStart w:id="0" w:name="_Hlk73523130"/>
      <w:bookmarkStart w:id="1" w:name="_Hlk66736463"/>
      <w:r w:rsidRPr="00E31549">
        <w:rPr>
          <w:rFonts w:cstheme="minorHAnsi"/>
          <w:b/>
          <w:bCs/>
          <w:caps/>
          <w:color w:val="2F5496" w:themeColor="accent1" w:themeShade="BF"/>
          <w:sz w:val="24"/>
          <w:szCs w:val="24"/>
        </w:rPr>
        <w:t>Sommaire de formation</w:t>
      </w:r>
    </w:p>
    <w:p w14:paraId="7FA3A240" w14:textId="459A7334" w:rsidR="001328F6" w:rsidRPr="00E71C96" w:rsidRDefault="001328F6" w:rsidP="00E71C96">
      <w:pP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</w:pPr>
      <w:bookmarkStart w:id="2" w:name="_Hlk67989864"/>
      <w:bookmarkEnd w:id="0"/>
      <w:r w:rsidRPr="00E31549">
        <w:rPr>
          <w:rFonts w:cstheme="minorHAnsi"/>
          <w:b/>
          <w:color w:val="2F5496" w:themeColor="accent1" w:themeShade="BF"/>
          <w:sz w:val="24"/>
          <w:szCs w:val="24"/>
          <w:u w:val="single"/>
        </w:rPr>
        <w:t xml:space="preserve">Introduction </w:t>
      </w:r>
    </w:p>
    <w:p w14:paraId="43947DAA" w14:textId="77777777" w:rsidR="001328F6" w:rsidRPr="00E31549" w:rsidRDefault="001328F6" w:rsidP="001328F6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  <w:u w:val="single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  <w:u w:val="single"/>
        </w:rPr>
        <w:t xml:space="preserve">Psychopathologie de l’adulte </w:t>
      </w:r>
    </w:p>
    <w:p w14:paraId="32A5CBE2" w14:textId="77777777" w:rsidR="001328F6" w:rsidRPr="00E31549" w:rsidRDefault="001328F6" w:rsidP="001328F6">
      <w:pPr>
        <w:pStyle w:val="Paragraphedeliste"/>
        <w:numPr>
          <w:ilvl w:val="1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Définition de la psychopathologie</w:t>
      </w:r>
    </w:p>
    <w:p w14:paraId="1D8B70E0" w14:textId="3557D6DA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Névroses</w:t>
      </w:r>
      <w:r w:rsidR="005E1992">
        <w:rPr>
          <w:rFonts w:cstheme="minorHAnsi"/>
          <w:b/>
          <w:color w:val="2F5496" w:themeColor="accent1" w:themeShade="BF"/>
          <w:sz w:val="24"/>
          <w:szCs w:val="24"/>
        </w:rPr>
        <w:t> : définition et description</w:t>
      </w:r>
    </w:p>
    <w:p w14:paraId="0975F7B4" w14:textId="7805EE61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Psychoses</w:t>
      </w:r>
      <w:r w:rsidR="005E1992">
        <w:rPr>
          <w:rFonts w:cstheme="minorHAnsi"/>
          <w:b/>
          <w:color w:val="2F5496" w:themeColor="accent1" w:themeShade="BF"/>
          <w:sz w:val="24"/>
          <w:szCs w:val="24"/>
        </w:rPr>
        <w:t> : définition et description</w:t>
      </w:r>
    </w:p>
    <w:p w14:paraId="3DDF9197" w14:textId="77777777" w:rsidR="005E1992" w:rsidRDefault="001328F6" w:rsidP="005E1992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Etats limite</w:t>
      </w:r>
      <w:r w:rsidR="005E1992">
        <w:rPr>
          <w:rFonts w:cstheme="minorHAnsi"/>
          <w:b/>
          <w:color w:val="2F5496" w:themeColor="accent1" w:themeShade="BF"/>
          <w:sz w:val="24"/>
          <w:szCs w:val="24"/>
        </w:rPr>
        <w:t> : définition et description</w:t>
      </w:r>
    </w:p>
    <w:p w14:paraId="6C967E11" w14:textId="77777777" w:rsidR="005E1992" w:rsidRDefault="001328F6" w:rsidP="005E1992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5E1992">
        <w:rPr>
          <w:rFonts w:cstheme="minorHAnsi"/>
          <w:b/>
          <w:color w:val="2F5496" w:themeColor="accent1" w:themeShade="BF"/>
          <w:sz w:val="24"/>
          <w:szCs w:val="24"/>
        </w:rPr>
        <w:t xml:space="preserve">Les mécanismes de défense </w:t>
      </w:r>
    </w:p>
    <w:p w14:paraId="285075E3" w14:textId="3DE9C7AE" w:rsidR="001328F6" w:rsidRPr="005E1992" w:rsidRDefault="005E1992" w:rsidP="005E1992">
      <w:pPr>
        <w:pStyle w:val="Paragraphedeliste"/>
        <w:numPr>
          <w:ilvl w:val="1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>
        <w:rPr>
          <w:rFonts w:cstheme="minorHAnsi"/>
          <w:b/>
          <w:color w:val="2F5496" w:themeColor="accent1" w:themeShade="BF"/>
          <w:sz w:val="24"/>
          <w:szCs w:val="24"/>
        </w:rPr>
        <w:t xml:space="preserve">Les </w:t>
      </w:r>
      <w:r w:rsidR="001328F6" w:rsidRPr="005E1992">
        <w:rPr>
          <w:rFonts w:cstheme="minorHAnsi"/>
          <w:b/>
          <w:color w:val="2F5496" w:themeColor="accent1" w:themeShade="BF"/>
          <w:sz w:val="24"/>
          <w:szCs w:val="24"/>
        </w:rPr>
        <w:t>néfastes</w:t>
      </w:r>
    </w:p>
    <w:p w14:paraId="31C73B90" w14:textId="4C9E2218" w:rsidR="001328F6" w:rsidRPr="00E31549" w:rsidRDefault="001328F6" w:rsidP="001328F6">
      <w:pPr>
        <w:pStyle w:val="Paragraphedeliste"/>
        <w:numPr>
          <w:ilvl w:val="1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Les efficaces</w:t>
      </w:r>
    </w:p>
    <w:p w14:paraId="41E2E685" w14:textId="77777777" w:rsidR="005E1992" w:rsidRDefault="005E1992" w:rsidP="005E1992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>
        <w:rPr>
          <w:rFonts w:cstheme="minorHAnsi"/>
          <w:b/>
          <w:color w:val="2F5496" w:themeColor="accent1" w:themeShade="BF"/>
          <w:sz w:val="24"/>
          <w:szCs w:val="24"/>
        </w:rPr>
        <w:t>Présentation du DSM et du CIM</w:t>
      </w:r>
    </w:p>
    <w:p w14:paraId="4344E2B2" w14:textId="0004594F" w:rsidR="001328F6" w:rsidRPr="005E1992" w:rsidRDefault="001328F6" w:rsidP="005E1992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5E1992">
        <w:rPr>
          <w:rFonts w:cstheme="minorHAnsi"/>
          <w:b/>
          <w:color w:val="2F5496" w:themeColor="accent1" w:themeShade="BF"/>
          <w:sz w:val="24"/>
          <w:szCs w:val="24"/>
        </w:rPr>
        <w:t xml:space="preserve">Les différents troubles </w:t>
      </w:r>
    </w:p>
    <w:p w14:paraId="44B9A945" w14:textId="77777777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Troubles de l’humeur</w:t>
      </w:r>
    </w:p>
    <w:p w14:paraId="219F9768" w14:textId="77777777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Troubles psychotiques</w:t>
      </w:r>
    </w:p>
    <w:p w14:paraId="0280345F" w14:textId="77777777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Troubles liés à la drogue</w:t>
      </w:r>
    </w:p>
    <w:p w14:paraId="0B65CDD9" w14:textId="77777777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Troubles liés à la sexualité</w:t>
      </w:r>
    </w:p>
    <w:p w14:paraId="5B96AD30" w14:textId="77777777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Troubles neurocognitifs</w:t>
      </w:r>
    </w:p>
    <w:p w14:paraId="3E7EF37A" w14:textId="77777777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Troubles anxieux</w:t>
      </w:r>
    </w:p>
    <w:p w14:paraId="274F7334" w14:textId="77777777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 xml:space="preserve">Troubles obsessionnels compulsifs </w:t>
      </w:r>
    </w:p>
    <w:p w14:paraId="2E034A3D" w14:textId="77777777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Troubles de stress post traumatique</w:t>
      </w:r>
    </w:p>
    <w:p w14:paraId="4F43D06A" w14:textId="77777777" w:rsidR="001328F6" w:rsidRPr="00E31549" w:rsidRDefault="001328F6" w:rsidP="001328F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Anorexie mentale</w:t>
      </w:r>
    </w:p>
    <w:p w14:paraId="7C79531C" w14:textId="3BE62F70" w:rsidR="00E71C96" w:rsidRDefault="001328F6" w:rsidP="00E71C96">
      <w:pPr>
        <w:pStyle w:val="Paragraphedeliste"/>
        <w:numPr>
          <w:ilvl w:val="2"/>
          <w:numId w:val="2"/>
        </w:num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E31549">
        <w:rPr>
          <w:rFonts w:cstheme="minorHAnsi"/>
          <w:b/>
          <w:color w:val="2F5496" w:themeColor="accent1" w:themeShade="BF"/>
          <w:sz w:val="24"/>
          <w:szCs w:val="24"/>
        </w:rPr>
        <w:t>Troubles de la personnalité</w:t>
      </w:r>
    </w:p>
    <w:p w14:paraId="08B6C0D8" w14:textId="3EAB5855" w:rsidR="00E71C96" w:rsidRDefault="00E71C96" w:rsidP="00E71C96">
      <w:p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</w:p>
    <w:p w14:paraId="4E88F935" w14:textId="26CE553B" w:rsidR="00E71C96" w:rsidRDefault="00E71C96" w:rsidP="00E71C96">
      <w:p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>
        <w:rPr>
          <w:rFonts w:cstheme="minorHAnsi"/>
          <w:b/>
          <w:color w:val="2F5496" w:themeColor="accent1" w:themeShade="BF"/>
          <w:sz w:val="24"/>
          <w:szCs w:val="24"/>
        </w:rPr>
        <w:t xml:space="preserve">Annexes : </w:t>
      </w:r>
    </w:p>
    <w:p w14:paraId="7B0E434D" w14:textId="77777777" w:rsidR="00E71C96" w:rsidRPr="00E31549" w:rsidRDefault="00E71C96" w:rsidP="00E71C96">
      <w:pPr>
        <w:pStyle w:val="Paragraphedeliste"/>
        <w:numPr>
          <w:ilvl w:val="0"/>
          <w:numId w:val="3"/>
        </w:numPr>
        <w:jc w:val="both"/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</w:pPr>
      <w:r w:rsidRPr="00E3154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Présentation du DSM et CIM </w:t>
      </w:r>
    </w:p>
    <w:p w14:paraId="6D38D63C" w14:textId="77777777" w:rsidR="00E71C96" w:rsidRPr="00E31549" w:rsidRDefault="00E71C96" w:rsidP="00E71C96">
      <w:pPr>
        <w:pStyle w:val="Paragraphedeliste"/>
        <w:numPr>
          <w:ilvl w:val="0"/>
          <w:numId w:val="3"/>
        </w:numPr>
        <w:jc w:val="both"/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</w:pPr>
      <w:r w:rsidRPr="00E3154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Le test </w:t>
      </w:r>
      <w:proofErr w:type="spellStart"/>
      <w:r w:rsidRPr="00E3154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MoCa</w:t>
      </w:r>
      <w:proofErr w:type="spellEnd"/>
    </w:p>
    <w:bookmarkEnd w:id="1"/>
    <w:bookmarkEnd w:id="2"/>
    <w:p w14:paraId="7C37841C" w14:textId="77777777" w:rsidR="00E71C96" w:rsidRPr="00E71C96" w:rsidRDefault="00E71C96" w:rsidP="00E71C96">
      <w:pPr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</w:p>
    <w:sectPr w:rsidR="00E71C96" w:rsidRPr="00E7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267"/>
    <w:multiLevelType w:val="hybridMultilevel"/>
    <w:tmpl w:val="42A89E50"/>
    <w:lvl w:ilvl="0" w:tplc="E676C2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A08B1"/>
    <w:multiLevelType w:val="multilevel"/>
    <w:tmpl w:val="96B4FCD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>
      <w:start w:val="3"/>
      <w:numFmt w:val="decimal"/>
      <w:lvlText w:val="%3."/>
      <w:lvlJc w:val="left"/>
      <w:pPr>
        <w:ind w:left="288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C46BD"/>
    <w:multiLevelType w:val="hybridMultilevel"/>
    <w:tmpl w:val="BB4CF4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F6"/>
    <w:rsid w:val="000B1C77"/>
    <w:rsid w:val="001328F6"/>
    <w:rsid w:val="005E1992"/>
    <w:rsid w:val="00BE6215"/>
    <w:rsid w:val="00E7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EA51"/>
  <w15:chartTrackingRefBased/>
  <w15:docId w15:val="{926EE1BC-9D04-4014-B821-C88D2FA5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F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decosse</dc:creator>
  <cp:keywords/>
  <dc:description/>
  <cp:lastModifiedBy>Caro Decosse Hypnotherapeute</cp:lastModifiedBy>
  <cp:revision>3</cp:revision>
  <dcterms:created xsi:type="dcterms:W3CDTF">2021-06-02T08:42:00Z</dcterms:created>
  <dcterms:modified xsi:type="dcterms:W3CDTF">2022-01-08T15:04:00Z</dcterms:modified>
</cp:coreProperties>
</file>